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73" w:rsidRDefault="00E42451"/>
    <w:p w:rsidR="00C45653" w:rsidRPr="00E42451" w:rsidRDefault="00C45653">
      <w:pPr>
        <w:rPr>
          <w:sz w:val="32"/>
          <w:szCs w:val="32"/>
        </w:rPr>
      </w:pPr>
    </w:p>
    <w:p w:rsidR="00C45653" w:rsidRPr="00E42451" w:rsidRDefault="00C45653">
      <w:pPr>
        <w:rPr>
          <w:sz w:val="32"/>
          <w:szCs w:val="32"/>
        </w:rPr>
      </w:pPr>
    </w:p>
    <w:p w:rsidR="00C45653" w:rsidRPr="00E42451" w:rsidRDefault="00C45653" w:rsidP="00C4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2451">
        <w:rPr>
          <w:rFonts w:ascii="Times New Roman" w:hAnsi="Times New Roman" w:cs="Times New Roman"/>
          <w:sz w:val="32"/>
          <w:szCs w:val="32"/>
        </w:rPr>
        <w:t xml:space="preserve">Информация об агентах по выдаче, погашению и обмену инвестиционных паев (далее - агент): агенты отсутствуют. </w:t>
      </w:r>
    </w:p>
    <w:p w:rsidR="00C45653" w:rsidRPr="00E42451" w:rsidRDefault="00C4565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45653" w:rsidRPr="00C45653" w:rsidRDefault="00C45653">
      <w:pPr>
        <w:rPr>
          <w:rFonts w:ascii="Times New Roman" w:hAnsi="Times New Roman" w:cs="Times New Roman"/>
          <w:sz w:val="24"/>
          <w:szCs w:val="24"/>
        </w:rPr>
      </w:pPr>
    </w:p>
    <w:p w:rsidR="00C45653" w:rsidRPr="00C45653" w:rsidRDefault="00C45653">
      <w:pPr>
        <w:rPr>
          <w:rFonts w:ascii="Times New Roman" w:hAnsi="Times New Roman" w:cs="Times New Roman"/>
          <w:sz w:val="24"/>
          <w:szCs w:val="24"/>
        </w:rPr>
      </w:pPr>
    </w:p>
    <w:sectPr w:rsidR="00C45653" w:rsidRPr="00C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53"/>
    <w:rsid w:val="00C45653"/>
    <w:rsid w:val="00D01FCB"/>
    <w:rsid w:val="00E42451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4162-9C27-4082-A3F6-FD979C6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Орешина</cp:lastModifiedBy>
  <cp:revision>2</cp:revision>
  <dcterms:created xsi:type="dcterms:W3CDTF">2021-09-30T16:10:00Z</dcterms:created>
  <dcterms:modified xsi:type="dcterms:W3CDTF">2021-09-30T16:10:00Z</dcterms:modified>
</cp:coreProperties>
</file>